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sz w:val="40"/>
          <w:szCs w:val="40"/>
        </w:rPr>
        <w:t xml:space="preserve">Corridor: a storyline for the CDC leadership research</w:t>
      </w:r>
    </w:p>
    <w:p>
      <w:pPr>
        <w:spacing w:after="320"/>
      </w:pPr>
      <w:r>
        <w:rPr>
          <w:i/>
          <w:iCs/>
          <w:color w:val="555555"/>
          <w:sz w:val="22"/>
          <w:szCs w:val="22"/>
        </w:rPr>
        <w:t xml:space="preserve">Draft prepared from the Corridor dataset (corridor-phl.vercel.app / github.com/AdamMirmina/corridor), 103 Philadelphia Community Development Corporations</w:t>
      </w:r>
    </w:p>
    <w:p>
      <w:pPr>
        <w:pStyle w:val="Heading1"/>
        <w:spacing w:after="160" w:before="320"/>
      </w:pPr>
      <w:r>
        <w:t xml:space="preserve">What this is</w:t>
      </w:r>
    </w:p>
    <w:p>
      <w:pPr>
        <w:spacing w:after="180"/>
      </w:pPr>
      <w:r>
        <w:t xml:space="preserve">This is a working draft of narrative threads the Corridor dataset supports, meant as a starting point for your project, not a finished argument. Each thread below is backed by real numbers from the dataset — pull the thread that fits where your project is going, drop the rest, or use several as sections of a longer piece.</w:t>
      </w:r>
    </w:p>
    <w:p>
      <w:pPr>
        <w:spacing w:after="180"/>
      </w:pPr>
      <w:r>
        <w:t xml:space="preserve">The underlying research question Corridor was built to answer: what factors determine leadership transitions in Philadelphia's community economic development organizations? Everything below is one way of answering pieces of that question with the data actually in hand.</w:t>
      </w:r>
    </w:p>
    <w:p>
      <w:pPr>
        <w:pStyle w:val="Heading1"/>
        <w:spacing w:after="160" w:before="320"/>
      </w:pPr>
      <w:r>
        <w:t xml:space="preserve">The dataset, in brief</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4500"/>
        <w:gridCol w:w="2500"/>
        <w:gridCol w:w="2500"/>
      </w:tblGrid>
      <w:tr>
        <w:tc>
          <w:tcPr>
            <w:tcW w:type="dxa" w:w="4500"/>
            <w:shd w:fill="15294B" w:val="clear"/>
          </w:tcPr>
          <w:p>
            <w:r>
              <w:rPr>
                <w:b/>
                <w:bCs/>
                <w:color w:val="FFFFFF"/>
              </w:rPr>
              <w:t xml:space="preserve">Metric</w:t>
            </w:r>
          </w:p>
        </w:tc>
        <w:tc>
          <w:tcPr>
            <w:tcW w:type="dxa" w:w="2500"/>
            <w:shd w:fill="15294B" w:val="clear"/>
          </w:tcPr>
          <w:p>
            <w:r>
              <w:rPr>
                <w:b/>
                <w:bCs/>
                <w:color w:val="FFFFFF"/>
              </w:rPr>
              <w:t xml:space="preserve">Count</w:t>
            </w:r>
          </w:p>
        </w:tc>
        <w:tc>
          <w:tcPr>
            <w:tcW w:type="dxa" w:w="2500"/>
            <w:shd w:fill="15294B" w:val="clear"/>
          </w:tcPr>
          <w:p>
            <w:r>
              <w:rPr>
                <w:b/>
                <w:bCs/>
                <w:color w:val="FFFFFF"/>
              </w:rPr>
              <w:t xml:space="preserve">Note</w:t>
            </w:r>
          </w:p>
        </w:tc>
      </w:tr>
      <w:tr>
        <w:tc>
          <w:tcPr>
            <w:tcW w:type="dxa" w:w="4500"/>
          </w:tcPr>
          <w:p>
            <w:r>
              <w:rPr>
                <w:b w:val="false"/>
                <w:bCs w:val="false"/>
                <w:color w:val="000000"/>
              </w:rPr>
              <w:t xml:space="preserve">Organizations tracked</w:t>
            </w:r>
          </w:p>
        </w:tc>
        <w:tc>
          <w:tcPr>
            <w:tcW w:type="dxa" w:w="2500"/>
          </w:tcPr>
          <w:p>
            <w:r>
              <w:rPr>
                <w:b w:val="false"/>
                <w:bCs w:val="false"/>
                <w:color w:val="000000"/>
              </w:rPr>
              <w:t xml:space="preserve">103</w:t>
            </w:r>
          </w:p>
        </w:tc>
        <w:tc>
          <w:tcPr>
            <w:tcW w:type="dxa" w:w="2500"/>
          </w:tcPr>
          <w:p>
            <w:r>
              <w:rPr>
                <w:b w:val="false"/>
                <w:bCs w:val="false"/>
                <w:color w:val="000000"/>
              </w:rPr>
              <w:t xml:space="preserve">up from 70 at the start of this research pass</w:t>
            </w:r>
          </w:p>
        </w:tc>
      </w:tr>
      <w:tr>
        <w:tc>
          <w:tcPr>
            <w:tcW w:type="dxa" w:w="4500"/>
          </w:tcPr>
          <w:p>
            <w:r>
              <w:rPr>
                <w:b w:val="false"/>
                <w:bCs w:val="false"/>
                <w:color w:val="000000"/>
              </w:rPr>
              <w:t xml:space="preserve">Matched to an IRS EIN</w:t>
            </w:r>
          </w:p>
        </w:tc>
        <w:tc>
          <w:tcPr>
            <w:tcW w:type="dxa" w:w="2500"/>
          </w:tcPr>
          <w:p>
            <w:r>
              <w:rPr>
                <w:b w:val="false"/>
                <w:bCs w:val="false"/>
                <w:color w:val="000000"/>
              </w:rPr>
              <w:t xml:space="preserve">85</w:t>
            </w:r>
          </w:p>
        </w:tc>
        <w:tc>
          <w:tcPr>
            <w:tcW w:type="dxa" w:w="2500"/>
          </w:tcPr>
          <w:p>
            <w:r>
              <w:rPr>
                <w:b w:val="false"/>
                <w:bCs w:val="false"/>
                <w:color w:val="000000"/>
              </w:rPr>
              <w:t xml:space="preserve">financial + filing history available</w:t>
            </w:r>
          </w:p>
        </w:tc>
      </w:tr>
      <w:tr>
        <w:tc>
          <w:tcPr>
            <w:tcW w:type="dxa" w:w="4500"/>
          </w:tcPr>
          <w:p>
            <w:r>
              <w:rPr>
                <w:b w:val="false"/>
                <w:bCs w:val="false"/>
                <w:color w:val="000000"/>
              </w:rPr>
              <w:t xml:space="preserve">With a named current executive</w:t>
            </w:r>
          </w:p>
        </w:tc>
        <w:tc>
          <w:tcPr>
            <w:tcW w:type="dxa" w:w="2500"/>
          </w:tcPr>
          <w:p>
            <w:r>
              <w:rPr>
                <w:b w:val="false"/>
                <w:bCs w:val="false"/>
                <w:color w:val="000000"/>
              </w:rPr>
              <w:t xml:space="preserve">57</w:t>
            </w:r>
          </w:p>
        </w:tc>
        <w:tc>
          <w:tcPr>
            <w:tcW w:type="dxa" w:w="2500"/>
          </w:tcPr>
          <w:p>
            <w:r>
              <w:rPr>
                <w:b w:val="false"/>
                <w:bCs w:val="false"/>
                <w:color w:val="000000"/>
              </w:rPr>
              <w:t xml:space="preserve">from IRS Form 990 Part VII or direct research</w:t>
            </w:r>
          </w:p>
        </w:tc>
      </w:tr>
      <w:tr>
        <w:tc>
          <w:tcPr>
            <w:tcW w:type="dxa" w:w="4500"/>
          </w:tcPr>
          <w:p>
            <w:r>
              <w:rPr>
                <w:b w:val="false"/>
                <w:bCs w:val="false"/>
                <w:color w:val="000000"/>
              </w:rPr>
              <w:t xml:space="preserve">In the City's CDC Tax Credit program</w:t>
            </w:r>
          </w:p>
        </w:tc>
        <w:tc>
          <w:tcPr>
            <w:tcW w:type="dxa" w:w="2500"/>
          </w:tcPr>
          <w:p>
            <w:r>
              <w:rPr>
                <w:b w:val="false"/>
                <w:bCs w:val="false"/>
                <w:color w:val="000000"/>
              </w:rPr>
              <w:t xml:space="preserve">50</w:t>
            </w:r>
          </w:p>
        </w:tc>
        <w:tc>
          <w:tcPr>
            <w:tcW w:type="dxa" w:w="2500"/>
          </w:tcPr>
          <w:p>
            <w:r>
              <w:rPr>
                <w:b w:val="false"/>
                <w:bCs w:val="false"/>
                <w:color w:val="000000"/>
              </w:rPr>
              <w:t xml:space="preserve">38 currently active</w:t>
            </w:r>
          </w:p>
        </w:tc>
      </w:tr>
      <w:tr>
        <w:tc>
          <w:tcPr>
            <w:tcW w:type="dxa" w:w="4500"/>
          </w:tcPr>
          <w:p>
            <w:r>
              <w:rPr>
                <w:b w:val="false"/>
                <w:bCs w:val="false"/>
                <w:color w:val="000000"/>
              </w:rPr>
              <w:t xml:space="preserve">Flagged as likely closed</w:t>
            </w:r>
          </w:p>
        </w:tc>
        <w:tc>
          <w:tcPr>
            <w:tcW w:type="dxa" w:w="2500"/>
          </w:tcPr>
          <w:p>
            <w:r>
              <w:rPr>
                <w:b w:val="false"/>
                <w:bCs w:val="false"/>
                <w:color w:val="000000"/>
              </w:rPr>
              <w:t xml:space="preserve">6</w:t>
            </w:r>
          </w:p>
        </w:tc>
        <w:tc>
          <w:tcPr>
            <w:tcW w:type="dxa" w:w="2500"/>
          </w:tcPr>
          <w:p>
            <w:r>
              <w:rPr>
                <w:b w:val="false"/>
                <w:bCs w:val="false"/>
                <w:color w:val="000000"/>
              </w:rPr>
              <w:t xml:space="preserve">no Form 990 filed since 2021 or earlier</w:t>
            </w:r>
          </w:p>
        </w:tc>
      </w:tr>
    </w:tbl>
    <w:p>
      <w:pPr>
        <w:spacing w:after="180"/>
      </w:pPr>
      <w:r>
        <w:t xml:space="preserve"/>
      </w:r>
    </w:p>
    <w:p>
      <w:pPr>
        <w:pStyle w:val="Heading1"/>
        <w:spacing w:after="160" w:before="320"/>
      </w:pPr>
      <w:r>
        <w:t xml:space="preserve">Thread 1 — The ones that don't show up anywhere until you go looking</w:t>
      </w:r>
    </w:p>
    <w:p>
      <w:pPr>
        <w:spacing w:after="180"/>
      </w:pPr>
      <w:r>
        <w:rPr>
          <w:b/>
          <w:bCs/>
        </w:rPr>
        <w:t xml:space="preserve">The finding: </w:t>
      </w:r>
      <w:r>
        <w:t xml:space="preserve">29 of the 103 organizations in this dataset weren't on anyone's active list. They surfaced only by reading 13 archival finding aids from Temple University's Special Collections Research Center — PACDC's own decades-old membership records, plus standalone collections for organizations whose entire paper trail ends at a university archive rather than a live website.</w:t>
      </w:r>
    </w:p>
    <w:p>
      <w:pPr>
        <w:spacing w:after="180"/>
      </w:pPr>
      <w:r>
        <w:t xml:space="preserve">This is itself a finding, not just a research method: a meaningful fraction of Philadelphia's community-development history is undocumented unless someone specifically goes digging. Of those 29, only 21 could even be matched to a modern IRS record — the other 8 (Sheridan CDC, Socca CDC, Southwest Germantown CDC, East of Broad CDC, Hawthorne CDC, and others) left no confident trace beyond a name in a 1980s-90s PACDC folder listing.</w:t>
      </w:r>
    </w:p>
    <w:p>
      <w:pPr>
        <w:spacing w:after="180"/>
      </w:pPr>
      <w:r>
        <w:rPr>
          <w:b/>
          <w:bCs/>
        </w:rPr>
        <w:t xml:space="preserve">Possible angle: </w:t>
      </w:r>
      <w:r>
        <w:t xml:space="preserve">what does it mean for a form of civic infrastructure — the neighborhood CDC — to have this high an attrition rate, and this thin a documentary record for the ones that don't survive? Compare to how carefully a for-profit business's dissolution gets recorded (bankruptcy filings, news coverage, successor entities) versus how a CDC seems to simply stop, with the paper trail surviving only by accident of donation to an archive.</w:t>
      </w:r>
    </w:p>
    <w:p>
      <w:pPr>
        <w:pStyle w:val="Heading1"/>
        <w:spacing w:after="160" w:before="320"/>
      </w:pPr>
      <w:r>
        <w:t xml:space="preserve">Thread 2 — Germantown Settlement: the anatomy of a large CDC's collapse, and its 20-year afterlife</w:t>
      </w:r>
    </w:p>
    <w:p>
      <w:pPr>
        <w:spacing w:after="180"/>
      </w:pPr>
      <w:r>
        <w:rPr>
          <w:b/>
          <w:bCs/>
        </w:rPr>
        <w:t xml:space="preserve">The finding: </w:t>
      </w:r>
      <w:r>
        <w:t xml:space="preserve">Germantown Settlement traces back to 1884 (as Morton Street Day Nursery), took its current name in a 1934 merger, and grew into one of Philadelphia's largest CDCs before collapsing amid financial and governance troubles in the 2000s. It has no IRS record left to match against — the organization is simply gone from the digitized-990 era entirely. But it isn't gone from the news: recent Philadelphia Inquirer and WHYY coverage (found through this research) describes the Philadelphia Housing Authority still working, as of 2026, to redevelop the CDC's former properties under an $84 million plan — nearly two decades after the organization itself stopped operating.</w:t>
      </w:r>
    </w:p>
    <w:p>
      <w:pPr>
        <w:spacing w:after="180"/>
      </w:pPr>
      <w:r>
        <w:rPr>
          <w:b/>
          <w:bCs/>
        </w:rPr>
        <w:t xml:space="preserve">Possible angle: </w:t>
      </w:r>
      <w:r>
        <w:t xml:space="preserve">a CDC's failure doesn't end when the organization does. The physical footprint (vacant or troubled properties) becomes someone else's multi-decade problem — here, the City's own housing authority. This is a concrete way to show that "leadership transition" at the top of the instability scale isn't an HR event, it's a neighborhood-scale, generation-long consequence.</w:t>
      </w:r>
    </w:p>
    <w:p>
      <w:pPr>
        <w:pStyle w:val="Heading1"/>
        <w:spacing w:after="160" w:before="320"/>
      </w:pPr>
      <w:r>
        <w:t xml:space="preserve">Thread 3 — Two ways a single-purpose CDC ends: dissolution vs. quiet continuation</w:t>
      </w:r>
    </w:p>
    <w:p>
      <w:pPr>
        <w:spacing w:after="180"/>
      </w:pPr>
      <w:r>
        <w:rPr>
          <w:b/>
          <w:bCs/>
        </w:rPr>
        <w:t xml:space="preserve">The finding: </w:t>
      </w:r>
      <w:r>
        <w:t xml:space="preserve">Olde Kensington Redevelopment Corporation was chartered in 1968 to build low-cost housing in Kensington. In 1979 it spun off O.K. Improvement Inc., and in 1982 it spun off Olde Kensington Senior Housing Associates (OKSHA) specifically to build one HUD-funded project, Sylvia Barg Plaza (opened 1986). OKSHA sold that building in 2014 and formally dissolved, its one job done. But the PARENT organization, the original 1968 charter, is still filing Form 990s as recently as 2023 — it outlived the subsidiary built for a single project by at least nine years.</w:t>
      </w:r>
    </w:p>
    <w:p>
      <w:pPr>
        <w:spacing w:after="180"/>
      </w:pPr>
      <w:r>
        <w:rPr>
          <w:b/>
          <w:bCs/>
        </w:rPr>
        <w:t xml:space="preserve">Possible angle: </w:t>
      </w:r>
      <w:r>
        <w:t xml:space="preserve">this is a clean natural experiment in two different lifecycle shapes for the same institutional family: a subsidiary built around one deliverable that dissolves cleanly when the deliverable is done, versus a parent charter that persists in some reduced form indefinitely. Worth checking what the parent org has actually been doing 2019-2023 — that's a concrete, answerable follow-up question (its Form 990 PDFs are linked directly in the dataset).</w:t>
      </w:r>
    </w:p>
    <w:p>
      <w:pPr>
        <w:pStyle w:val="Heading1"/>
        <w:spacing w:after="160" w:before="320"/>
      </w:pPr>
      <w:r>
        <w:t xml:space="preserve">Thread 4 — Compensation swings as an early-warning signal, and one wild outlier</w:t>
      </w:r>
    </w:p>
    <w:p>
      <w:pPr>
        <w:spacing w:after="180"/>
      </w:pPr>
      <w:r>
        <w:rPr>
          <w:b/>
          <w:bCs/>
        </w:rPr>
        <w:t xml:space="preserve">The finding: </w:t>
      </w:r>
      <w:r>
        <w:t xml:space="preserve">The dataset flags a year as a likely leadership-transition year when total officer compensation jumps 30%+ versus the prior filing — a lead, not proof, but a genuinely useful one for narrowing down WHEN to look for a change. Most organizations show 0-2 such years across a decade-plus of filings. Yorktown CDC is a striking exception: 11 flagged years out of only 12 years of filing history — essentially every single year on record.</w:t>
      </w:r>
    </w:p>
    <w:p>
      <w:pPr>
        <w:spacing w:after="180"/>
      </w:pPr>
      <w:r>
        <w:rPr>
          <w:b/>
          <w:bCs/>
        </w:rPr>
        <w:t xml:space="preserve">Possible angle: </w:t>
      </w:r>
      <w:r>
        <w:t xml:space="preserve">either Yorktown CDC has had genuinely chaotic year-over-year leadership churn, or (more likely for a small organization) its "officer compensation" line is volatile for reasons unrelated to executive turnover — a small nonprofit where the reported officer differs year to year, or compensation is not steady salary. This is a good candidate for a close read of the actual Form 990 PDFs (linked in the dataset) to figure out which story is true, and it's a useful cautionary example for the methods section of your project: a purely quantitative signal needs a documents check before it becomes a claim.</w:t>
      </w:r>
    </w:p>
    <w:p>
      <w:pPr>
        <w:pStyle w:val="Heading1"/>
        <w:spacing w:after="160" w:before="320"/>
      </w:pPr>
      <w:r>
        <w:t xml:space="preserve">Thread 5 — Longevity at the top: who has run the same organization for over a decade</w:t>
      </w:r>
    </w:p>
    <w:p>
      <w:pPr>
        <w:spacing w:after="180"/>
      </w:pPr>
      <w:r>
        <w:t xml:space="preserve">Several organizations show no compensation-jump signal across their entire filing history, suggesting real leadership stability rather than just a data gap:</w:t>
      </w:r>
    </w:p>
    <w:p>
      <w:pPr>
        <w:pStyle w:val="ListParagraph"/>
        <w:numPr>
          <w:ilvl w:val="0"/>
          <w:numId w:val="2"/>
        </w:numPr>
        <w:spacing w:after="100"/>
      </w:pPr>
      <w:r>
        <w:t xml:space="preserve">Philadelphia Chinatown Development Corporation — John Chin, executive director since 2000</w:t>
      </w:r>
    </w:p>
    <w:p>
      <w:pPr>
        <w:pStyle w:val="ListParagraph"/>
        <w:numPr>
          <w:ilvl w:val="0"/>
          <w:numId w:val="2"/>
        </w:numPr>
        <w:spacing w:after="100"/>
      </w:pPr>
      <w:r>
        <w:t xml:space="preserve">Southwest CDC — Donna Henry, executive director since 1994</w:t>
      </w:r>
    </w:p>
    <w:p>
      <w:pPr>
        <w:pStyle w:val="ListParagraph"/>
        <w:numPr>
          <w:ilvl w:val="0"/>
          <w:numId w:val="2"/>
        </w:numPr>
        <w:spacing w:after="100"/>
      </w:pPr>
      <w:r>
        <w:t xml:space="preserve">South Kensington Community Partners — Eileen Divringi</w:t>
      </w:r>
    </w:p>
    <w:p>
      <w:pPr>
        <w:pStyle w:val="ListParagraph"/>
        <w:numPr>
          <w:ilvl w:val="0"/>
          <w:numId w:val="2"/>
        </w:numPr>
        <w:spacing w:after="100"/>
      </w:pPr>
      <w:r>
        <w:t xml:space="preserve">Sister Clara Muhammad CDC — Roger Powe</w:t>
      </w:r>
    </w:p>
    <w:p>
      <w:pPr>
        <w:pStyle w:val="ListParagraph"/>
        <w:numPr>
          <w:ilvl w:val="0"/>
          <w:numId w:val="2"/>
        </w:numPr>
        <w:spacing w:after="100"/>
      </w:pPr>
      <w:r>
        <w:t xml:space="preserve">Old City District — Stephen Tornone</w:t>
      </w:r>
    </w:p>
    <w:p>
      <w:pPr>
        <w:spacing w:after="180"/>
      </w:pPr>
      <w:r>
        <w:rPr>
          <w:b/>
          <w:bCs/>
        </w:rPr>
        <w:t xml:space="preserve">Possible angle: </w:t>
      </w:r>
      <w:r>
        <w:t xml:space="preserve">what do the long-tenure organizations have in common that the high-instability ones don't — size, funding mix, neighborhood, founding structure (founder-led vs. hired-ED-from-the-start)? The dataset has the financial-size and tax-credit variables needed to actually test this, not just assert it.</w:t>
      </w:r>
    </w:p>
    <w:p>
      <w:pPr>
        <w:pStyle w:val="Heading1"/>
        <w:spacing w:after="160" w:before="320"/>
      </w:pPr>
      <w:r>
        <w:t xml:space="preserve">Suggested structure, if useful</w:t>
      </w:r>
    </w:p>
    <w:p>
      <w:pPr>
        <w:spacing w:after="180"/>
      </w:pPr>
      <w:r>
        <w:t xml:space="preserve">One way to sequence these into a single piece:</w:t>
      </w:r>
    </w:p>
    <w:p>
      <w:pPr>
        <w:pStyle w:val="ListParagraph"/>
        <w:numPr>
          <w:ilvl w:val="0"/>
          <w:numId w:val="2"/>
        </w:numPr>
        <w:spacing w:after="100"/>
      </w:pPr>
      <w:r>
        <w:t xml:space="preserve">Open with the scale problem (Thread 1) — you can't study CDC leadership turnover if a third of the organizations that ever existed aren't even on the list.</w:t>
      </w:r>
    </w:p>
    <w:p>
      <w:pPr>
        <w:pStyle w:val="ListParagraph"/>
        <w:numPr>
          <w:ilvl w:val="0"/>
          <w:numId w:val="2"/>
        </w:numPr>
        <w:spacing w:after="100"/>
      </w:pPr>
      <w:r>
        <w:t xml:space="preserve">Ground it in one detailed case (Thread 2, Germantown Settlement) to show what "turnover" looks like at its most extreme, and why it matters beyond the org chart.</w:t>
      </w:r>
    </w:p>
    <w:p>
      <w:pPr>
        <w:pStyle w:val="ListParagraph"/>
        <w:numPr>
          <w:ilvl w:val="0"/>
          <w:numId w:val="2"/>
        </w:numPr>
        <w:spacing w:after="100"/>
      </w:pPr>
      <w:r>
        <w:t xml:space="preserve">Use Thread 3 as a contrast case — same institutional family, two different endings.</w:t>
      </w:r>
    </w:p>
    <w:p>
      <w:pPr>
        <w:pStyle w:val="ListParagraph"/>
        <w:numPr>
          <w:ilvl w:val="0"/>
          <w:numId w:val="2"/>
        </w:numPr>
        <w:spacing w:after="100"/>
      </w:pPr>
      <w:r>
        <w:t xml:space="preserve">Introduce the compensation-jump methodology and its limits via Thread 4 — be upfront that it's a lead, not a verdict.</w:t>
      </w:r>
    </w:p>
    <w:p>
      <w:pPr>
        <w:pStyle w:val="ListParagraph"/>
        <w:numPr>
          <w:ilvl w:val="0"/>
          <w:numId w:val="2"/>
        </w:numPr>
        <w:spacing w:after="100"/>
      </w:pPr>
      <w:r>
        <w:t xml:space="preserve">Close with Thread 5 as the flip side: what stability looks like, and what might explain it.</w:t>
      </w:r>
    </w:p>
    <w:p>
      <w:pPr>
        <w:pStyle w:val="Heading1"/>
        <w:spacing w:after="160" w:before="320"/>
      </w:pPr>
      <w:r>
        <w:t xml:space="preserve">Open questions worth running down next</w:t>
      </w:r>
    </w:p>
    <w:p>
      <w:pPr>
        <w:pStyle w:val="ListParagraph"/>
        <w:numPr>
          <w:ilvl w:val="0"/>
          <w:numId w:val="2"/>
        </w:numPr>
        <w:spacing w:after="100"/>
      </w:pPr>
      <w:r>
        <w:t xml:space="preserve">Pull the actual Form 990 PDFs for Yorktown CDC and Olde Kensington Redevelopment Corporation (both linked in the dataset) to resolve what's really going on with each.</w:t>
      </w:r>
    </w:p>
    <w:p>
      <w:pPr>
        <w:pStyle w:val="ListParagraph"/>
        <w:numPr>
          <w:ilvl w:val="0"/>
          <w:numId w:val="2"/>
        </w:numPr>
        <w:spacing w:after="100"/>
      </w:pPr>
      <w:r>
        <w:t xml:space="preserve">The map (separate deliverable) should make it possible to check whether Temple-archive-only orgs cluster geographically — several sampled ones are in Germantown and Kensington specifically.</w:t>
      </w:r>
    </w:p>
    <w:p>
      <w:pPr>
        <w:pStyle w:val="ListParagraph"/>
        <w:numPr>
          <w:ilvl w:val="0"/>
          <w:numId w:val="2"/>
        </w:numPr>
        <w:spacing w:after="100"/>
      </w:pPr>
      <w:r>
        <w:t xml:space="preserve">12 organizations still have no confirmed address at all and 18 have no confirmed EIN — worth a manual pass through PA's business-entity search or a records request if any of them matter to the final argument.</w:t>
      </w:r>
    </w:p>
    <w:p>
      <w:pPr>
        <w:spacing w:after="180"/>
      </w:pPr>
      <w:r>
        <w:t xml:space="preserve"/>
      </w:r>
    </w:p>
    <w:p>
      <w:pPr>
        <w:spacing w:after="180"/>
      </w:pPr>
      <w:r>
        <w:rPr>
          <w:i/>
          <w:iCs/>
          <w:color w:val="555555"/>
        </w:rPr>
        <w:t xml:space="preserve">Everything cited above is traceable back to a specific row in the dataset — the Roster, Temple Archives, News &amp; Sources, and Financial History sheets in corridor_dataset.xlsx, or the equivalent pages at corridor.ramsgatestudio.com.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2026-07-25T14:57:38.899Z</dcterms:created>
  <dcterms:modified xsi:type="dcterms:W3CDTF">2026-07-25T14:57:38.900Z</dcterms:modified>
</cp:coreProperties>
</file>

<file path=docProps/custom.xml><?xml version="1.0" encoding="utf-8"?>
<Properties xmlns="http://schemas.openxmlformats.org/officeDocument/2006/custom-properties" xmlns:vt="http://schemas.openxmlformats.org/officeDocument/2006/docPropsVTypes"/>
</file>